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3D5" w:rsidRPr="00123125" w:rsidRDefault="00D633D5" w:rsidP="00D633D5">
      <w:pPr>
        <w:rPr>
          <w:sz w:val="24"/>
          <w:szCs w:val="24"/>
        </w:rPr>
      </w:pPr>
      <w:r w:rsidRPr="00123125">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-8255</wp:posOffset>
                </wp:positionV>
                <wp:extent cx="5981700" cy="1028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981700" cy="1028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96EF0B" id="Rectangle 2" o:spid="_x0000_s1026" style="position:absolute;margin-left:-2.25pt;margin-top:-.65pt;width:471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" filled="f" strokecolor="#1f3763 [1604]" strokeweight="1pt"/>
            </w:pict>
          </mc:Fallback>
        </mc:AlternateContent>
      </w:r>
      <w:r w:rsidRPr="00123125">
        <w:rPr>
          <w:sz w:val="24"/>
          <w:szCs w:val="24"/>
        </w:rPr>
        <w:t>When you get emergency care or are treated by an out-of-network provider at an in-network hospital or</w:t>
      </w:r>
      <w:r w:rsidR="00123125">
        <w:rPr>
          <w:sz w:val="24"/>
          <w:szCs w:val="24"/>
        </w:rPr>
        <w:t xml:space="preserve"> </w:t>
      </w:r>
      <w:r w:rsidRPr="00123125">
        <w:rPr>
          <w:sz w:val="24"/>
          <w:szCs w:val="24"/>
        </w:rPr>
        <w:t>ambulatory surgical center, you are protected from balance billing.</w:t>
      </w:r>
    </w:p>
    <w:p w:rsidR="00123125" w:rsidRDefault="00123125" w:rsidP="00D633D5">
      <w:pPr>
        <w:rPr>
          <w:sz w:val="24"/>
          <w:szCs w:val="24"/>
        </w:rPr>
      </w:pPr>
    </w:p>
    <w:p w:rsidR="00D633D5" w:rsidRPr="00123125" w:rsidRDefault="00D633D5" w:rsidP="00D633D5">
      <w:pPr>
        <w:rPr>
          <w:sz w:val="24"/>
          <w:szCs w:val="24"/>
        </w:rPr>
      </w:pPr>
      <w:r w:rsidRPr="00123125">
        <w:rPr>
          <w:sz w:val="24"/>
          <w:szCs w:val="24"/>
        </w:rPr>
        <w:t>In these cases, you shouldn’t be charged more than your plan’s copayments, coinsurance and/or deductible.</w:t>
      </w:r>
    </w:p>
    <w:p w:rsidR="00CC0C17" w:rsidRPr="001B3931" w:rsidRDefault="00CC0C17" w:rsidP="00D633D5">
      <w:pPr>
        <w:ind w:left="100"/>
        <w:outlineLvl w:val="0"/>
        <w:rPr>
          <w:b/>
          <w:bCs/>
          <w:color w:val="4472C4" w:themeColor="accent1"/>
          <w:sz w:val="24"/>
          <w:szCs w:val="24"/>
        </w:rPr>
      </w:pPr>
    </w:p>
    <w:p w:rsidR="00D633D5" w:rsidRPr="001B3931" w:rsidRDefault="00D633D5" w:rsidP="00D633D5">
      <w:pPr>
        <w:ind w:left="100"/>
        <w:outlineLvl w:val="0"/>
        <w:rPr>
          <w:b/>
          <w:bCs/>
          <w:color w:val="4472C4" w:themeColor="accent1"/>
          <w:sz w:val="24"/>
          <w:szCs w:val="24"/>
        </w:rPr>
      </w:pPr>
      <w:r w:rsidRPr="001B3931">
        <w:rPr>
          <w:b/>
          <w:bCs/>
          <w:color w:val="4472C4" w:themeColor="accent1"/>
          <w:sz w:val="24"/>
          <w:szCs w:val="24"/>
        </w:rPr>
        <w:t>What is “balance billing?”</w:t>
      </w:r>
    </w:p>
    <w:p w:rsidR="00D633D5" w:rsidRPr="00123125" w:rsidRDefault="00D633D5" w:rsidP="00D633D5">
      <w:pPr>
        <w:ind w:left="100"/>
        <w:rPr>
          <w:sz w:val="24"/>
          <w:szCs w:val="24"/>
        </w:rPr>
      </w:pPr>
      <w:r w:rsidRPr="00123125">
        <w:rPr>
          <w:sz w:val="24"/>
          <w:szCs w:val="24"/>
        </w:rPr>
        <w:t>(Sometimes called “surprise billing”)</w:t>
      </w:r>
    </w:p>
    <w:p w:rsidR="00D633D5" w:rsidRPr="00123125" w:rsidRDefault="00D633D5" w:rsidP="00330847">
      <w:pPr>
        <w:ind w:left="100"/>
        <w:rPr>
          <w:sz w:val="24"/>
          <w:szCs w:val="24"/>
        </w:rPr>
      </w:pPr>
      <w:r w:rsidRPr="00123125">
        <w:rPr>
          <w:sz w:val="24"/>
          <w:szCs w:val="24"/>
        </w:rPr>
        <w:t xml:space="preserve">When you see a doctor or other health care provider, you may owe certain </w:t>
      </w:r>
      <w:r w:rsidRPr="00123125">
        <w:rPr>
          <w:spacing w:val="-127"/>
          <w:sz w:val="24"/>
          <w:szCs w:val="24"/>
          <w:u w:val="single" w:color="0562C1"/>
        </w:rPr>
        <w:t>o</w:t>
      </w:r>
      <w:r w:rsidRPr="00123125">
        <w:rPr>
          <w:spacing w:val="72"/>
          <w:sz w:val="24"/>
          <w:szCs w:val="24"/>
        </w:rPr>
        <w:t xml:space="preserve"> </w:t>
      </w:r>
      <w:r w:rsidRPr="00123125">
        <w:rPr>
          <w:sz w:val="24"/>
          <w:szCs w:val="24"/>
          <w:u w:val="single" w:color="0562C1"/>
        </w:rPr>
        <w:t>ut-of-pocket costs</w:t>
      </w:r>
      <w:r w:rsidRPr="00123125">
        <w:rPr>
          <w:sz w:val="24"/>
          <w:szCs w:val="24"/>
        </w:rPr>
        <w:t>, like a</w:t>
      </w:r>
      <w:r w:rsidR="00123125">
        <w:rPr>
          <w:sz w:val="24"/>
          <w:szCs w:val="24"/>
        </w:rPr>
        <w:t xml:space="preserve"> c</w:t>
      </w:r>
      <w:r w:rsidR="00330847" w:rsidRPr="00123125">
        <w:rPr>
          <w:sz w:val="24"/>
          <w:szCs w:val="24"/>
        </w:rPr>
        <w:t>opayment</w:t>
      </w:r>
      <w:r w:rsidRPr="00123125">
        <w:rPr>
          <w:sz w:val="24"/>
          <w:szCs w:val="24"/>
        </w:rPr>
        <w:t xml:space="preserve">, </w:t>
      </w:r>
      <w:r w:rsidRPr="00123125">
        <w:rPr>
          <w:spacing w:val="-102"/>
          <w:sz w:val="24"/>
          <w:szCs w:val="24"/>
          <w:u w:val="single" w:color="0562C1"/>
        </w:rPr>
        <w:t>c</w:t>
      </w:r>
      <w:r w:rsidRPr="00123125">
        <w:rPr>
          <w:spacing w:val="49"/>
          <w:sz w:val="24"/>
          <w:szCs w:val="24"/>
        </w:rPr>
        <w:t xml:space="preserve"> </w:t>
      </w:r>
      <w:r w:rsidR="00123125" w:rsidRPr="00123125">
        <w:rPr>
          <w:sz w:val="24"/>
          <w:szCs w:val="24"/>
          <w:u w:val="single" w:color="0562C1"/>
        </w:rPr>
        <w:t>oinsurance</w:t>
      </w:r>
      <w:r w:rsidRPr="00123125">
        <w:rPr>
          <w:sz w:val="24"/>
          <w:szCs w:val="24"/>
        </w:rPr>
        <w:t xml:space="preserve">, or </w:t>
      </w:r>
      <w:r w:rsidRPr="00123125">
        <w:rPr>
          <w:spacing w:val="-126"/>
          <w:sz w:val="24"/>
          <w:szCs w:val="24"/>
          <w:u w:val="single" w:color="0562C1"/>
        </w:rPr>
        <w:t>d</w:t>
      </w:r>
      <w:r w:rsidRPr="00123125">
        <w:rPr>
          <w:spacing w:val="72"/>
          <w:sz w:val="24"/>
          <w:szCs w:val="24"/>
        </w:rPr>
        <w:t xml:space="preserve"> </w:t>
      </w:r>
      <w:r w:rsidR="00123125" w:rsidRPr="00123125">
        <w:rPr>
          <w:sz w:val="24"/>
          <w:szCs w:val="24"/>
          <w:u w:val="single" w:color="0562C1"/>
        </w:rPr>
        <w:t>eductible</w:t>
      </w:r>
      <w:r w:rsidRPr="00123125">
        <w:rPr>
          <w:sz w:val="24"/>
          <w:szCs w:val="24"/>
        </w:rPr>
        <w:t>. You may have additional costs or have to pay the entire bill if you see a provider or visit a health care facility that isn’t in your health plan’s network.</w:t>
      </w:r>
    </w:p>
    <w:p w:rsidR="00D633D5" w:rsidRPr="00123125" w:rsidRDefault="00D633D5" w:rsidP="00CC0C17">
      <w:pPr>
        <w:pStyle w:val="ListParagraph"/>
        <w:numPr>
          <w:ilvl w:val="0"/>
          <w:numId w:val="4"/>
        </w:numPr>
        <w:tabs>
          <w:tab w:val="left" w:pos="819"/>
          <w:tab w:val="left" w:pos="820"/>
        </w:tabs>
        <w:ind w:right="106"/>
        <w:rPr>
          <w:sz w:val="24"/>
          <w:szCs w:val="24"/>
        </w:rPr>
      </w:pPr>
      <w:r w:rsidRPr="00123125">
        <w:rPr>
          <w:b/>
          <w:sz w:val="24"/>
          <w:szCs w:val="24"/>
        </w:rPr>
        <w:t xml:space="preserve">Out-of-network </w:t>
      </w:r>
      <w:r w:rsidRPr="00123125">
        <w:rPr>
          <w:sz w:val="24"/>
          <w:szCs w:val="24"/>
        </w:rPr>
        <w:t>means providers and facilities that haven’t signed a contract with your health plan to provide services. Out-of-network providers may be allowed to bill you for the difference between what your plan pays, and the full amount charged for a service. This is called “balance billing.” This amount</w:t>
      </w:r>
      <w:r w:rsidRPr="00123125">
        <w:rPr>
          <w:spacing w:val="-35"/>
          <w:sz w:val="24"/>
          <w:szCs w:val="24"/>
        </w:rPr>
        <w:t xml:space="preserve"> </w:t>
      </w:r>
      <w:r w:rsidRPr="00123125">
        <w:rPr>
          <w:sz w:val="24"/>
          <w:szCs w:val="24"/>
        </w:rPr>
        <w:t>is likely more than in-network costs for the same service and might not count toward your plan’s deductible or annual out-of-pocket</w:t>
      </w:r>
      <w:r w:rsidRPr="00123125">
        <w:rPr>
          <w:spacing w:val="-10"/>
          <w:sz w:val="24"/>
          <w:szCs w:val="24"/>
        </w:rPr>
        <w:t xml:space="preserve"> </w:t>
      </w:r>
      <w:r w:rsidRPr="00123125">
        <w:rPr>
          <w:sz w:val="24"/>
          <w:szCs w:val="24"/>
        </w:rPr>
        <w:t>limit.</w:t>
      </w:r>
    </w:p>
    <w:p w:rsidR="00D633D5" w:rsidRPr="00123125" w:rsidRDefault="00D633D5" w:rsidP="00862ADF">
      <w:pPr>
        <w:numPr>
          <w:ilvl w:val="0"/>
          <w:numId w:val="1"/>
        </w:numPr>
        <w:tabs>
          <w:tab w:val="left" w:pos="819"/>
          <w:tab w:val="left" w:pos="820"/>
        </w:tabs>
        <w:ind w:right="254"/>
        <w:rPr>
          <w:sz w:val="24"/>
          <w:szCs w:val="24"/>
        </w:rPr>
      </w:pPr>
      <w:r w:rsidRPr="00123125">
        <w:rPr>
          <w:b/>
          <w:sz w:val="24"/>
          <w:szCs w:val="24"/>
        </w:rPr>
        <w:t xml:space="preserve">Surprise billing </w:t>
      </w:r>
      <w:r w:rsidRPr="00123125">
        <w:rPr>
          <w:sz w:val="24"/>
          <w:szCs w:val="24"/>
        </w:rPr>
        <w:t>is an unexpected balance bill. This can happen when you can’t control who is involved in your care—like when you have an emergency or when you schedule a visit at an in</w:t>
      </w:r>
      <w:r w:rsidR="00862ADF" w:rsidRPr="00123125">
        <w:rPr>
          <w:sz w:val="24"/>
          <w:szCs w:val="24"/>
        </w:rPr>
        <w:t>-</w:t>
      </w:r>
      <w:r w:rsidRPr="00123125">
        <w:rPr>
          <w:sz w:val="24"/>
          <w:szCs w:val="24"/>
        </w:rPr>
        <w:t>network</w:t>
      </w:r>
      <w:r w:rsidRPr="00123125">
        <w:rPr>
          <w:spacing w:val="-33"/>
          <w:sz w:val="24"/>
          <w:szCs w:val="24"/>
        </w:rPr>
        <w:t xml:space="preserve"> </w:t>
      </w:r>
      <w:r w:rsidRPr="00123125">
        <w:rPr>
          <w:sz w:val="24"/>
          <w:szCs w:val="24"/>
        </w:rPr>
        <w:t>facility but are unexpectedly treated by an out-of-network provider. Surprise medical bills could cost thousands of dollars depending on the procedure or</w:t>
      </w:r>
      <w:r w:rsidRPr="00123125">
        <w:rPr>
          <w:spacing w:val="1"/>
          <w:sz w:val="24"/>
          <w:szCs w:val="24"/>
        </w:rPr>
        <w:t xml:space="preserve"> </w:t>
      </w:r>
      <w:r w:rsidRPr="00123125">
        <w:rPr>
          <w:sz w:val="24"/>
          <w:szCs w:val="24"/>
        </w:rPr>
        <w:t>service.</w:t>
      </w:r>
    </w:p>
    <w:p w:rsidR="00D633D5" w:rsidRPr="001B3931" w:rsidRDefault="00D633D5" w:rsidP="00CC0C17">
      <w:pPr>
        <w:pStyle w:val="Heading1"/>
        <w:spacing w:before="0"/>
        <w:ind w:left="0"/>
        <w:rPr>
          <w:color w:val="4472C4" w:themeColor="accent1"/>
          <w:sz w:val="24"/>
          <w:szCs w:val="24"/>
        </w:rPr>
      </w:pPr>
      <w:r w:rsidRPr="001B3931">
        <w:rPr>
          <w:color w:val="4472C4" w:themeColor="accent1"/>
          <w:sz w:val="24"/>
          <w:szCs w:val="24"/>
        </w:rPr>
        <w:t>You Are Protected from Balance Billing for the Following Services</w:t>
      </w:r>
    </w:p>
    <w:p w:rsidR="00D633D5" w:rsidRDefault="00D633D5" w:rsidP="00D633D5">
      <w:pPr>
        <w:pStyle w:val="Heading2"/>
      </w:pPr>
      <w:r>
        <w:t>Emergency Services</w:t>
      </w:r>
    </w:p>
    <w:p w:rsidR="00D633D5" w:rsidRPr="00330847" w:rsidRDefault="00D633D5" w:rsidP="00D633D5">
      <w:pPr>
        <w:pStyle w:val="BodyText"/>
        <w:ind w:left="100" w:right="140"/>
      </w:pPr>
      <w:r w:rsidRPr="00330847">
        <w:t xml:space="preserve">If you have an emergency medical condition and get emergency services from an out-of- network provider or facility, the most they can bill you is your plan’s in-network cost-sharing amount (such as copayments, coinsurance, and deductibles). You </w:t>
      </w:r>
      <w:r w:rsidRPr="00330847">
        <w:rPr>
          <w:b/>
        </w:rPr>
        <w:t xml:space="preserve">cannot </w:t>
      </w:r>
      <w:r w:rsidRPr="00330847">
        <w:t>be balance billed for these emergency services. This includes services you may get after you are in stable condition, unless you give written consent and give up your protections not to be balanced billed for these post-stabilization services.</w:t>
      </w:r>
    </w:p>
    <w:p w:rsidR="00E96C95" w:rsidRDefault="00E96C95" w:rsidP="00E96C95">
      <w:pPr>
        <w:pStyle w:val="Heading2"/>
        <w:ind w:left="0"/>
      </w:pPr>
    </w:p>
    <w:p w:rsidR="00D633D5" w:rsidRDefault="00D633D5" w:rsidP="00E96C95">
      <w:pPr>
        <w:pStyle w:val="Heading2"/>
        <w:ind w:left="0" w:firstLine="100"/>
      </w:pPr>
      <w:r>
        <w:t>Certain Services at an In-Network Hospital or Ambulatory Surgical Center</w:t>
      </w:r>
      <w:r w:rsidR="00E96C95">
        <w:t>s</w:t>
      </w:r>
    </w:p>
    <w:p w:rsidR="00D633D5" w:rsidRPr="00330847" w:rsidRDefault="00D633D5" w:rsidP="00D633D5">
      <w:pPr>
        <w:pStyle w:val="BodyText"/>
        <w:ind w:left="100"/>
      </w:pPr>
      <w:r w:rsidRPr="00330847">
        <w:t xml:space="preserve">When you get services from an in-network hospital or ambulatory surgical center, certain providers there may be out-of-network. In these cases, the most those providers can bill you is your plan’s in-network cost-sharing amount. This applies to emergency medicine, anesthesia, pathology, radiology, laboratory, neonatology, assistant surgeon, hospitalist, or intensivist services. These providers </w:t>
      </w:r>
      <w:r w:rsidRPr="00330847">
        <w:rPr>
          <w:b/>
        </w:rPr>
        <w:t xml:space="preserve">cannot </w:t>
      </w:r>
      <w:r w:rsidRPr="00330847">
        <w:t xml:space="preserve">balance bill you and may </w:t>
      </w:r>
      <w:r w:rsidRPr="00330847">
        <w:rPr>
          <w:b/>
        </w:rPr>
        <w:t xml:space="preserve">not </w:t>
      </w:r>
      <w:r w:rsidRPr="00330847">
        <w:t>ask you to give up your protections not to be balance billed.</w:t>
      </w:r>
    </w:p>
    <w:p w:rsidR="00D633D5" w:rsidRPr="00330847" w:rsidRDefault="00D633D5" w:rsidP="00D633D5">
      <w:pPr>
        <w:pStyle w:val="BodyText"/>
      </w:pPr>
    </w:p>
    <w:p w:rsidR="00D633D5" w:rsidRPr="008566E2" w:rsidRDefault="00D633D5" w:rsidP="008566E2">
      <w:pPr>
        <w:pStyle w:val="BodyText"/>
        <w:ind w:left="100"/>
        <w:rPr>
          <w:b/>
        </w:rPr>
      </w:pPr>
      <w:r w:rsidRPr="00330847">
        <w:t xml:space="preserve">If you get other types of services at these in-network facilities, out-of-network providers </w:t>
      </w:r>
      <w:r w:rsidRPr="00330847">
        <w:rPr>
          <w:b/>
        </w:rPr>
        <w:t>cannot</w:t>
      </w:r>
      <w:r w:rsidR="008566E2">
        <w:rPr>
          <w:b/>
        </w:rPr>
        <w:t xml:space="preserve"> </w:t>
      </w:r>
      <w:r w:rsidRPr="00330847">
        <w:t>balance bill you unless you give written consent and give up your protections.</w:t>
      </w:r>
    </w:p>
    <w:p w:rsidR="00D633D5" w:rsidRDefault="00D633D5" w:rsidP="00D633D5">
      <w:pPr>
        <w:pStyle w:val="BodyText"/>
        <w:rPr>
          <w:sz w:val="23"/>
        </w:rPr>
      </w:pPr>
    </w:p>
    <w:p w:rsidR="00D633D5" w:rsidRDefault="00D633D5" w:rsidP="00D633D5">
      <w:pPr>
        <w:pStyle w:val="Heading2"/>
        <w:spacing w:line="242" w:lineRule="auto"/>
        <w:ind w:right="140"/>
      </w:pPr>
      <w:r>
        <w:t>You are never required to give up your protections from balance billing. You also aren’t required to get out- of-network care. You can choose a provider or facility in your plan’s network.</w:t>
      </w:r>
    </w:p>
    <w:p w:rsidR="00D633D5" w:rsidRDefault="00D633D5" w:rsidP="00D633D5">
      <w:pPr>
        <w:pStyle w:val="BodyText"/>
        <w:rPr>
          <w:b/>
        </w:rPr>
      </w:pPr>
    </w:p>
    <w:p w:rsidR="00D633D5" w:rsidRPr="001B3931" w:rsidRDefault="00D633D5" w:rsidP="00CC0C17">
      <w:pPr>
        <w:rPr>
          <w:b/>
          <w:color w:val="4472C4" w:themeColor="accent1"/>
          <w:sz w:val="24"/>
          <w:szCs w:val="24"/>
        </w:rPr>
      </w:pPr>
      <w:r w:rsidRPr="001B3931">
        <w:rPr>
          <w:b/>
          <w:color w:val="4472C4" w:themeColor="accent1"/>
          <w:sz w:val="24"/>
          <w:szCs w:val="24"/>
        </w:rPr>
        <w:t>You have the Following, Additional Protections When Balance Billing Is Not Allowed</w:t>
      </w:r>
    </w:p>
    <w:p w:rsidR="00D633D5" w:rsidRPr="00330847" w:rsidRDefault="00D633D5" w:rsidP="00D633D5">
      <w:pPr>
        <w:pStyle w:val="ListParagraph"/>
        <w:numPr>
          <w:ilvl w:val="0"/>
          <w:numId w:val="1"/>
        </w:numPr>
        <w:tabs>
          <w:tab w:val="left" w:pos="819"/>
          <w:tab w:val="left" w:pos="820"/>
        </w:tabs>
        <w:ind w:right="237"/>
        <w:rPr>
          <w:sz w:val="24"/>
          <w:szCs w:val="24"/>
        </w:rPr>
      </w:pPr>
      <w:r w:rsidRPr="00330847">
        <w:rPr>
          <w:sz w:val="24"/>
          <w:szCs w:val="24"/>
        </w:rPr>
        <w:t>You are only responsible for paying your share of the cost (like the copayments, coinsurance, and deductible that you would pay if the provider or facility was in-network). Your health plan will pay</w:t>
      </w:r>
      <w:r w:rsidRPr="00330847">
        <w:rPr>
          <w:spacing w:val="-39"/>
          <w:sz w:val="24"/>
          <w:szCs w:val="24"/>
        </w:rPr>
        <w:t xml:space="preserve"> </w:t>
      </w:r>
      <w:r w:rsidRPr="00330847">
        <w:rPr>
          <w:sz w:val="24"/>
          <w:szCs w:val="24"/>
        </w:rPr>
        <w:t>any additional costs to out-of-network providers and facilities</w:t>
      </w:r>
      <w:r w:rsidRPr="00330847">
        <w:rPr>
          <w:spacing w:val="-9"/>
          <w:sz w:val="24"/>
          <w:szCs w:val="24"/>
        </w:rPr>
        <w:t xml:space="preserve"> </w:t>
      </w:r>
      <w:r w:rsidRPr="00330847">
        <w:rPr>
          <w:sz w:val="24"/>
          <w:szCs w:val="24"/>
        </w:rPr>
        <w:t>directly.</w:t>
      </w:r>
    </w:p>
    <w:p w:rsidR="00D633D5" w:rsidRPr="00330847" w:rsidRDefault="00D633D5" w:rsidP="00D633D5">
      <w:pPr>
        <w:pStyle w:val="ListParagraph"/>
        <w:numPr>
          <w:ilvl w:val="0"/>
          <w:numId w:val="1"/>
        </w:numPr>
        <w:tabs>
          <w:tab w:val="left" w:pos="819"/>
          <w:tab w:val="left" w:pos="820"/>
        </w:tabs>
        <w:rPr>
          <w:sz w:val="24"/>
          <w:szCs w:val="24"/>
        </w:rPr>
      </w:pPr>
      <w:r w:rsidRPr="00330847">
        <w:rPr>
          <w:sz w:val="24"/>
          <w:szCs w:val="24"/>
        </w:rPr>
        <w:t>Generally, your health plan</w:t>
      </w:r>
      <w:r w:rsidRPr="00330847">
        <w:rPr>
          <w:spacing w:val="-4"/>
          <w:sz w:val="24"/>
          <w:szCs w:val="24"/>
        </w:rPr>
        <w:t xml:space="preserve"> </w:t>
      </w:r>
      <w:r w:rsidRPr="00330847">
        <w:rPr>
          <w:sz w:val="24"/>
          <w:szCs w:val="24"/>
        </w:rPr>
        <w:t>must:</w:t>
      </w:r>
    </w:p>
    <w:p w:rsidR="00D633D5" w:rsidRPr="00330847" w:rsidRDefault="00D633D5" w:rsidP="00D633D5">
      <w:pPr>
        <w:pStyle w:val="ListParagraph"/>
        <w:numPr>
          <w:ilvl w:val="1"/>
          <w:numId w:val="1"/>
        </w:numPr>
        <w:tabs>
          <w:tab w:val="left" w:pos="1359"/>
          <w:tab w:val="left" w:pos="1360"/>
        </w:tabs>
        <w:spacing w:line="232" w:lineRule="auto"/>
        <w:ind w:right="594"/>
        <w:rPr>
          <w:sz w:val="24"/>
          <w:szCs w:val="24"/>
        </w:rPr>
      </w:pPr>
      <w:r w:rsidRPr="00330847">
        <w:rPr>
          <w:sz w:val="24"/>
          <w:szCs w:val="24"/>
        </w:rPr>
        <w:t>Cover emergency services without requiring you to get approval for services in advance</w:t>
      </w:r>
      <w:r w:rsidRPr="00330847">
        <w:rPr>
          <w:spacing w:val="-28"/>
          <w:sz w:val="24"/>
          <w:szCs w:val="24"/>
        </w:rPr>
        <w:t xml:space="preserve"> </w:t>
      </w:r>
      <w:r w:rsidRPr="00330847">
        <w:rPr>
          <w:sz w:val="24"/>
          <w:szCs w:val="24"/>
        </w:rPr>
        <w:t>(also known as prior</w:t>
      </w:r>
      <w:r w:rsidRPr="00330847">
        <w:rPr>
          <w:spacing w:val="-3"/>
          <w:sz w:val="24"/>
          <w:szCs w:val="24"/>
        </w:rPr>
        <w:t xml:space="preserve"> </w:t>
      </w:r>
      <w:r w:rsidRPr="00330847">
        <w:rPr>
          <w:sz w:val="24"/>
          <w:szCs w:val="24"/>
        </w:rPr>
        <w:t>authorization).</w:t>
      </w:r>
    </w:p>
    <w:p w:rsidR="00D633D5" w:rsidRPr="00330847" w:rsidRDefault="00D633D5" w:rsidP="00D633D5">
      <w:pPr>
        <w:pStyle w:val="ListParagraph"/>
        <w:numPr>
          <w:ilvl w:val="1"/>
          <w:numId w:val="1"/>
        </w:numPr>
        <w:tabs>
          <w:tab w:val="left" w:pos="1359"/>
          <w:tab w:val="left" w:pos="1360"/>
        </w:tabs>
        <w:spacing w:line="297" w:lineRule="exact"/>
        <w:rPr>
          <w:sz w:val="24"/>
          <w:szCs w:val="24"/>
        </w:rPr>
      </w:pPr>
      <w:r w:rsidRPr="00330847">
        <w:rPr>
          <w:sz w:val="24"/>
          <w:szCs w:val="24"/>
        </w:rPr>
        <w:t>Cover emergency services by out-of-network</w:t>
      </w:r>
      <w:r w:rsidRPr="00330847">
        <w:rPr>
          <w:spacing w:val="-7"/>
          <w:sz w:val="24"/>
          <w:szCs w:val="24"/>
        </w:rPr>
        <w:t xml:space="preserve"> </w:t>
      </w:r>
      <w:r w:rsidRPr="00330847">
        <w:rPr>
          <w:sz w:val="24"/>
          <w:szCs w:val="24"/>
        </w:rPr>
        <w:t>providers.</w:t>
      </w:r>
    </w:p>
    <w:p w:rsidR="00D633D5" w:rsidRPr="00330847" w:rsidRDefault="00D633D5" w:rsidP="00D633D5">
      <w:pPr>
        <w:pStyle w:val="ListParagraph"/>
        <w:numPr>
          <w:ilvl w:val="1"/>
          <w:numId w:val="1"/>
        </w:numPr>
        <w:tabs>
          <w:tab w:val="left" w:pos="1359"/>
          <w:tab w:val="left" w:pos="1360"/>
        </w:tabs>
        <w:spacing w:line="232" w:lineRule="auto"/>
        <w:ind w:right="590"/>
        <w:rPr>
          <w:sz w:val="24"/>
          <w:szCs w:val="24"/>
        </w:rPr>
      </w:pPr>
      <w:r w:rsidRPr="00330847">
        <w:rPr>
          <w:sz w:val="24"/>
          <w:szCs w:val="24"/>
        </w:rPr>
        <w:t>Base what you owe the provider or facility (cost-sharing) on what it would pay an</w:t>
      </w:r>
      <w:r w:rsidRPr="00330847">
        <w:rPr>
          <w:spacing w:val="-29"/>
          <w:sz w:val="24"/>
          <w:szCs w:val="24"/>
        </w:rPr>
        <w:t xml:space="preserve"> </w:t>
      </w:r>
      <w:r w:rsidRPr="00330847">
        <w:rPr>
          <w:sz w:val="24"/>
          <w:szCs w:val="24"/>
        </w:rPr>
        <w:t>in-network provider or facility and show that amount in your explanation of</w:t>
      </w:r>
      <w:r w:rsidRPr="00330847">
        <w:rPr>
          <w:spacing w:val="-14"/>
          <w:sz w:val="24"/>
          <w:szCs w:val="24"/>
        </w:rPr>
        <w:t xml:space="preserve"> </w:t>
      </w:r>
      <w:r w:rsidRPr="00330847">
        <w:rPr>
          <w:sz w:val="24"/>
          <w:szCs w:val="24"/>
        </w:rPr>
        <w:t>benefits.</w:t>
      </w:r>
    </w:p>
    <w:p w:rsidR="00D633D5" w:rsidRPr="00330847" w:rsidRDefault="00D633D5" w:rsidP="00D633D5">
      <w:pPr>
        <w:pStyle w:val="ListParagraph"/>
        <w:numPr>
          <w:ilvl w:val="1"/>
          <w:numId w:val="1"/>
        </w:numPr>
        <w:tabs>
          <w:tab w:val="left" w:pos="1359"/>
          <w:tab w:val="left" w:pos="1360"/>
        </w:tabs>
        <w:spacing w:line="232" w:lineRule="auto"/>
        <w:ind w:right="483"/>
        <w:rPr>
          <w:sz w:val="24"/>
          <w:szCs w:val="24"/>
        </w:rPr>
      </w:pPr>
      <w:r w:rsidRPr="00330847">
        <w:rPr>
          <w:sz w:val="24"/>
          <w:szCs w:val="24"/>
        </w:rPr>
        <w:t>Count any amount you pay for emergency services or out-of-network services toward your</w:t>
      </w:r>
      <w:r w:rsidRPr="00330847">
        <w:rPr>
          <w:spacing w:val="-28"/>
          <w:sz w:val="24"/>
          <w:szCs w:val="24"/>
        </w:rPr>
        <w:t xml:space="preserve"> </w:t>
      </w:r>
      <w:r w:rsidRPr="00330847">
        <w:rPr>
          <w:sz w:val="24"/>
          <w:szCs w:val="24"/>
        </w:rPr>
        <w:t>in- network deductible and out-of-pocket</w:t>
      </w:r>
      <w:r w:rsidRPr="00330847">
        <w:rPr>
          <w:spacing w:val="-6"/>
          <w:sz w:val="24"/>
          <w:szCs w:val="24"/>
        </w:rPr>
        <w:t xml:space="preserve"> </w:t>
      </w:r>
      <w:r w:rsidRPr="00330847">
        <w:rPr>
          <w:sz w:val="24"/>
          <w:szCs w:val="24"/>
        </w:rPr>
        <w:t>limit.</w:t>
      </w:r>
    </w:p>
    <w:p w:rsidR="00D633D5" w:rsidRDefault="00D633D5" w:rsidP="00D633D5">
      <w:pPr>
        <w:pStyle w:val="BodyText"/>
      </w:pPr>
    </w:p>
    <w:p w:rsidR="00D633D5" w:rsidRPr="001B3931" w:rsidRDefault="00D633D5" w:rsidP="00D633D5">
      <w:pPr>
        <w:pStyle w:val="Heading1"/>
        <w:spacing w:before="0" w:line="341" w:lineRule="exact"/>
        <w:rPr>
          <w:color w:val="4472C4" w:themeColor="accent1"/>
          <w:sz w:val="24"/>
          <w:szCs w:val="24"/>
        </w:rPr>
      </w:pPr>
      <w:bookmarkStart w:id="0" w:name="_GoBack"/>
      <w:r w:rsidRPr="001B3931">
        <w:rPr>
          <w:color w:val="4472C4" w:themeColor="accent1"/>
          <w:sz w:val="24"/>
          <w:szCs w:val="24"/>
        </w:rPr>
        <w:t>If You Think You Have Been Wrongly Billed</w:t>
      </w:r>
    </w:p>
    <w:bookmarkEnd w:id="0"/>
    <w:p w:rsidR="00862ADF" w:rsidRPr="00123125" w:rsidRDefault="00862ADF" w:rsidP="00D633D5">
      <w:pPr>
        <w:pStyle w:val="ListParagraph"/>
        <w:numPr>
          <w:ilvl w:val="0"/>
          <w:numId w:val="2"/>
        </w:numPr>
        <w:tabs>
          <w:tab w:val="left" w:pos="911"/>
          <w:tab w:val="left" w:pos="912"/>
        </w:tabs>
        <w:spacing w:line="304" w:lineRule="exact"/>
        <w:ind w:hanging="361"/>
        <w:rPr>
          <w:sz w:val="24"/>
          <w:szCs w:val="24"/>
        </w:rPr>
      </w:pPr>
      <w:r w:rsidRPr="00123125">
        <w:rPr>
          <w:color w:val="000000"/>
          <w:sz w:val="24"/>
          <w:szCs w:val="24"/>
        </w:rPr>
        <w:t>If you have any questions or need further clarification, please do not hesitate to contact us by reaching out to Central Maine Healthcare Patient Financial Services at (207) 795-2237.</w:t>
      </w:r>
    </w:p>
    <w:p w:rsidR="00D633D5" w:rsidRPr="00123125" w:rsidRDefault="00D633D5" w:rsidP="00D633D5">
      <w:pPr>
        <w:pStyle w:val="ListParagraph"/>
        <w:numPr>
          <w:ilvl w:val="0"/>
          <w:numId w:val="2"/>
        </w:numPr>
        <w:tabs>
          <w:tab w:val="left" w:pos="911"/>
          <w:tab w:val="left" w:pos="912"/>
        </w:tabs>
        <w:spacing w:line="304" w:lineRule="exact"/>
        <w:ind w:hanging="361"/>
        <w:rPr>
          <w:sz w:val="24"/>
          <w:szCs w:val="24"/>
        </w:rPr>
      </w:pPr>
      <w:r w:rsidRPr="00123125">
        <w:rPr>
          <w:sz w:val="24"/>
          <w:szCs w:val="24"/>
        </w:rPr>
        <w:t>Contact the Maine Bureau of Insurance by calling 207-624-8475, or 1-800-300-5000 (toll</w:t>
      </w:r>
      <w:r w:rsidRPr="00123125">
        <w:rPr>
          <w:spacing w:val="-18"/>
          <w:sz w:val="24"/>
          <w:szCs w:val="24"/>
        </w:rPr>
        <w:t xml:space="preserve"> </w:t>
      </w:r>
      <w:r w:rsidRPr="00123125">
        <w:rPr>
          <w:sz w:val="24"/>
          <w:szCs w:val="24"/>
        </w:rPr>
        <w:t>free).</w:t>
      </w:r>
    </w:p>
    <w:p w:rsidR="00D633D5" w:rsidRPr="00123125" w:rsidRDefault="00D633D5" w:rsidP="00D633D5">
      <w:pPr>
        <w:pStyle w:val="ListParagraph"/>
        <w:numPr>
          <w:ilvl w:val="0"/>
          <w:numId w:val="2"/>
        </w:numPr>
        <w:tabs>
          <w:tab w:val="left" w:pos="911"/>
          <w:tab w:val="left" w:pos="912"/>
        </w:tabs>
        <w:spacing w:line="305" w:lineRule="exact"/>
        <w:ind w:hanging="361"/>
        <w:rPr>
          <w:sz w:val="24"/>
          <w:szCs w:val="24"/>
        </w:rPr>
      </w:pPr>
      <w:r w:rsidRPr="00123125">
        <w:rPr>
          <w:sz w:val="24"/>
          <w:szCs w:val="24"/>
        </w:rPr>
        <w:t>Call the federal phone number for information and complaints at 1-800-985-3059 (toll</w:t>
      </w:r>
      <w:r w:rsidRPr="00123125">
        <w:rPr>
          <w:spacing w:val="-11"/>
          <w:sz w:val="24"/>
          <w:szCs w:val="24"/>
        </w:rPr>
        <w:t xml:space="preserve"> </w:t>
      </w:r>
      <w:r w:rsidRPr="00123125">
        <w:rPr>
          <w:sz w:val="24"/>
          <w:szCs w:val="24"/>
        </w:rPr>
        <w:t>free).</w:t>
      </w:r>
    </w:p>
    <w:p w:rsidR="00D633D5" w:rsidRPr="00123125" w:rsidRDefault="00D633D5" w:rsidP="00D633D5">
      <w:pPr>
        <w:pStyle w:val="ListParagraph"/>
        <w:numPr>
          <w:ilvl w:val="0"/>
          <w:numId w:val="2"/>
        </w:numPr>
        <w:tabs>
          <w:tab w:val="left" w:pos="911"/>
          <w:tab w:val="left" w:pos="912"/>
        </w:tabs>
        <w:ind w:hanging="361"/>
        <w:rPr>
          <w:rStyle w:val="Hyperlink"/>
          <w:color w:val="auto"/>
          <w:sz w:val="24"/>
          <w:szCs w:val="24"/>
          <w:u w:val="none"/>
        </w:rPr>
      </w:pPr>
      <w:r w:rsidRPr="00123125">
        <w:rPr>
          <w:sz w:val="24"/>
          <w:szCs w:val="24"/>
        </w:rPr>
        <w:t xml:space="preserve">Visit the website with federal protections </w:t>
      </w:r>
      <w:r w:rsidR="00282191" w:rsidRPr="00123125">
        <w:rPr>
          <w:sz w:val="24"/>
          <w:szCs w:val="24"/>
        </w:rPr>
        <w:t xml:space="preserve">at </w:t>
      </w:r>
      <w:hyperlink r:id="rId8" w:history="1">
        <w:r w:rsidR="00282191" w:rsidRPr="00123125">
          <w:rPr>
            <w:rStyle w:val="Hyperlink"/>
            <w:sz w:val="24"/>
            <w:szCs w:val="24"/>
          </w:rPr>
          <w:t>No Surprises Act | CMS</w:t>
        </w:r>
      </w:hyperlink>
    </w:p>
    <w:p w:rsidR="00330847" w:rsidRPr="00123125" w:rsidRDefault="00330847" w:rsidP="00330847">
      <w:pPr>
        <w:pStyle w:val="ListParagraph"/>
        <w:numPr>
          <w:ilvl w:val="0"/>
          <w:numId w:val="2"/>
        </w:numPr>
        <w:spacing w:line="290" w:lineRule="exact"/>
        <w:rPr>
          <w:sz w:val="24"/>
          <w:szCs w:val="24"/>
        </w:rPr>
      </w:pPr>
      <w:r w:rsidRPr="00123125">
        <w:rPr>
          <w:sz w:val="24"/>
          <w:szCs w:val="24"/>
        </w:rPr>
        <w:t xml:space="preserve">Visit the </w:t>
      </w:r>
      <w:hyperlink r:id="rId9" w:history="1">
        <w:r w:rsidRPr="00123125">
          <w:rPr>
            <w:rStyle w:val="Hyperlink"/>
            <w:sz w:val="24"/>
            <w:szCs w:val="24"/>
          </w:rPr>
          <w:t>Maine Legislature</w:t>
        </w:r>
      </w:hyperlink>
      <w:r w:rsidRPr="00123125">
        <w:rPr>
          <w:sz w:val="24"/>
          <w:szCs w:val="24"/>
        </w:rPr>
        <w:t xml:space="preserve"> website for more information about your rights under Title 22: Health and Welfare, Subtitle 2: Health, Part 4: Hospitals and Medical Care, Chapter 401: General provisions</w:t>
      </w:r>
    </w:p>
    <w:sectPr w:rsidR="00330847" w:rsidRPr="00123125" w:rsidSect="00D633D5">
      <w:head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14E" w:rsidRDefault="0041714E" w:rsidP="00D633D5">
      <w:r>
        <w:separator/>
      </w:r>
    </w:p>
  </w:endnote>
  <w:endnote w:type="continuationSeparator" w:id="0">
    <w:p w:rsidR="0041714E" w:rsidRDefault="0041714E" w:rsidP="00D63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14E" w:rsidRDefault="0041714E" w:rsidP="00D633D5">
      <w:r>
        <w:separator/>
      </w:r>
    </w:p>
  </w:footnote>
  <w:footnote w:type="continuationSeparator" w:id="0">
    <w:p w:rsidR="0041714E" w:rsidRDefault="0041714E" w:rsidP="00D63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33D5" w:rsidRPr="00D633D5" w:rsidRDefault="00D633D5">
    <w:pPr>
      <w:pStyle w:val="Header"/>
      <w:rPr>
        <w:b/>
        <w:color w:val="4472C4" w:themeColor="accent1"/>
        <w:sz w:val="32"/>
        <w:szCs w:val="32"/>
      </w:rPr>
    </w:pPr>
    <w:r>
      <w:rPr>
        <w:b/>
        <w:color w:val="4472C4" w:themeColor="accent1"/>
        <w:sz w:val="32"/>
        <w:szCs w:val="32"/>
      </w:rPr>
      <w:ptab w:relativeTo="margin" w:alignment="left" w:leader="none"/>
    </w:r>
    <w:r>
      <w:rPr>
        <w:noProof/>
      </w:rPr>
      <w:drawing>
        <wp:inline distT="0" distB="0" distL="0" distR="0" wp14:anchorId="630DF4E9" wp14:editId="297989FA">
          <wp:extent cx="1711291" cy="545902"/>
          <wp:effectExtent l="0" t="0" r="381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MH-Logo-4c.jpg"/>
                  <pic:cNvPicPr/>
                </pic:nvPicPr>
                <pic:blipFill>
                  <a:blip r:embed="rId1">
                    <a:extLst>
                      <a:ext uri="{28A0092B-C50C-407E-A947-70E740481C1C}">
                        <a14:useLocalDpi xmlns:a14="http://schemas.microsoft.com/office/drawing/2010/main" val="0"/>
                      </a:ext>
                    </a:extLst>
                  </a:blip>
                  <a:stretch>
                    <a:fillRect/>
                  </a:stretch>
                </pic:blipFill>
                <pic:spPr>
                  <a:xfrm>
                    <a:off x="0" y="0"/>
                    <a:ext cx="1711291" cy="545902"/>
                  </a:xfrm>
                  <a:prstGeom prst="rect">
                    <a:avLst/>
                  </a:prstGeom>
                </pic:spPr>
              </pic:pic>
            </a:graphicData>
          </a:graphic>
        </wp:inline>
      </w:drawing>
    </w:r>
    <w:r>
      <w:rPr>
        <w:b/>
        <w:color w:val="4472C4" w:themeColor="accent1"/>
        <w:sz w:val="32"/>
        <w:szCs w:val="32"/>
      </w:rPr>
      <w:ptab w:relativeTo="margin" w:alignment="right" w:leader="none"/>
    </w:r>
    <w:r w:rsidRPr="00D633D5">
      <w:rPr>
        <w:b/>
        <w:color w:val="4472C4" w:themeColor="accent1"/>
        <w:sz w:val="32"/>
        <w:szCs w:val="32"/>
      </w:rPr>
      <w:t>Your Rights and Protections</w:t>
    </w:r>
  </w:p>
  <w:p w:rsidR="00D633D5" w:rsidRPr="00D633D5" w:rsidRDefault="00D633D5">
    <w:pPr>
      <w:pStyle w:val="Header"/>
      <w:rPr>
        <w:b/>
        <w:color w:val="4472C4" w:themeColor="accent1"/>
        <w:sz w:val="32"/>
        <w:szCs w:val="32"/>
      </w:rPr>
    </w:pPr>
    <w:r>
      <w:rPr>
        <w:b/>
        <w:color w:val="4472C4" w:themeColor="accent1"/>
        <w:sz w:val="32"/>
        <w:szCs w:val="32"/>
      </w:rPr>
      <w:ptab w:relativeTo="margin" w:alignment="right" w:leader="none"/>
    </w:r>
    <w:r w:rsidRPr="00D633D5">
      <w:rPr>
        <w:b/>
        <w:color w:val="4472C4" w:themeColor="accent1"/>
        <w:sz w:val="32"/>
        <w:szCs w:val="32"/>
      </w:rPr>
      <w:t>Against Surprise Medical Bills</w:t>
    </w:r>
  </w:p>
  <w:p w:rsidR="00D633D5" w:rsidRDefault="00D63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E6405"/>
    <w:multiLevelType w:val="hybridMultilevel"/>
    <w:tmpl w:val="D77E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5042D"/>
    <w:multiLevelType w:val="hybridMultilevel"/>
    <w:tmpl w:val="D55A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594AE1"/>
    <w:multiLevelType w:val="hybridMultilevel"/>
    <w:tmpl w:val="C450A924"/>
    <w:lvl w:ilvl="0" w:tplc="46AE0D58">
      <w:numFmt w:val="bullet"/>
      <w:lvlText w:val=""/>
      <w:lvlJc w:val="left"/>
      <w:pPr>
        <w:ind w:left="911" w:hanging="360"/>
      </w:pPr>
      <w:rPr>
        <w:rFonts w:ascii="Symbol" w:eastAsia="Symbol" w:hAnsi="Symbol" w:cs="Symbol" w:hint="default"/>
        <w:w w:val="99"/>
        <w:sz w:val="24"/>
        <w:szCs w:val="24"/>
      </w:rPr>
    </w:lvl>
    <w:lvl w:ilvl="1" w:tplc="48F09938">
      <w:numFmt w:val="bullet"/>
      <w:lvlText w:val="•"/>
      <w:lvlJc w:val="left"/>
      <w:pPr>
        <w:ind w:left="1926" w:hanging="360"/>
      </w:pPr>
      <w:rPr>
        <w:rFonts w:hint="default"/>
      </w:rPr>
    </w:lvl>
    <w:lvl w:ilvl="2" w:tplc="A0A8DC42">
      <w:numFmt w:val="bullet"/>
      <w:lvlText w:val="•"/>
      <w:lvlJc w:val="left"/>
      <w:pPr>
        <w:ind w:left="2932" w:hanging="360"/>
      </w:pPr>
      <w:rPr>
        <w:rFonts w:hint="default"/>
      </w:rPr>
    </w:lvl>
    <w:lvl w:ilvl="3" w:tplc="4FB43CCA">
      <w:numFmt w:val="bullet"/>
      <w:lvlText w:val="•"/>
      <w:lvlJc w:val="left"/>
      <w:pPr>
        <w:ind w:left="3938" w:hanging="360"/>
      </w:pPr>
      <w:rPr>
        <w:rFonts w:hint="default"/>
      </w:rPr>
    </w:lvl>
    <w:lvl w:ilvl="4" w:tplc="5EA68C06">
      <w:numFmt w:val="bullet"/>
      <w:lvlText w:val="•"/>
      <w:lvlJc w:val="left"/>
      <w:pPr>
        <w:ind w:left="4944" w:hanging="360"/>
      </w:pPr>
      <w:rPr>
        <w:rFonts w:hint="default"/>
      </w:rPr>
    </w:lvl>
    <w:lvl w:ilvl="5" w:tplc="3B14B6EC">
      <w:numFmt w:val="bullet"/>
      <w:lvlText w:val="•"/>
      <w:lvlJc w:val="left"/>
      <w:pPr>
        <w:ind w:left="5950" w:hanging="360"/>
      </w:pPr>
      <w:rPr>
        <w:rFonts w:hint="default"/>
      </w:rPr>
    </w:lvl>
    <w:lvl w:ilvl="6" w:tplc="165E793C">
      <w:numFmt w:val="bullet"/>
      <w:lvlText w:val="•"/>
      <w:lvlJc w:val="left"/>
      <w:pPr>
        <w:ind w:left="6956" w:hanging="360"/>
      </w:pPr>
      <w:rPr>
        <w:rFonts w:hint="default"/>
      </w:rPr>
    </w:lvl>
    <w:lvl w:ilvl="7" w:tplc="54DE375C">
      <w:numFmt w:val="bullet"/>
      <w:lvlText w:val="•"/>
      <w:lvlJc w:val="left"/>
      <w:pPr>
        <w:ind w:left="7962" w:hanging="360"/>
      </w:pPr>
      <w:rPr>
        <w:rFonts w:hint="default"/>
      </w:rPr>
    </w:lvl>
    <w:lvl w:ilvl="8" w:tplc="1284AF42">
      <w:numFmt w:val="bullet"/>
      <w:lvlText w:val="•"/>
      <w:lvlJc w:val="left"/>
      <w:pPr>
        <w:ind w:left="8968" w:hanging="360"/>
      </w:pPr>
      <w:rPr>
        <w:rFonts w:hint="default"/>
      </w:rPr>
    </w:lvl>
  </w:abstractNum>
  <w:abstractNum w:abstractNumId="3" w15:restartNumberingAfterBreak="0">
    <w:nsid w:val="565A0134"/>
    <w:multiLevelType w:val="hybridMultilevel"/>
    <w:tmpl w:val="982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719F2"/>
    <w:multiLevelType w:val="hybridMultilevel"/>
    <w:tmpl w:val="FA02AB2E"/>
    <w:lvl w:ilvl="0" w:tplc="70D4D730">
      <w:numFmt w:val="bullet"/>
      <w:lvlText w:val=""/>
      <w:lvlJc w:val="left"/>
      <w:pPr>
        <w:ind w:left="820" w:hanging="360"/>
      </w:pPr>
      <w:rPr>
        <w:rFonts w:ascii="Symbol" w:eastAsia="Symbol" w:hAnsi="Symbol" w:cs="Symbol" w:hint="default"/>
        <w:w w:val="99"/>
        <w:sz w:val="24"/>
        <w:szCs w:val="24"/>
      </w:rPr>
    </w:lvl>
    <w:lvl w:ilvl="1" w:tplc="0212CB40">
      <w:numFmt w:val="bullet"/>
      <w:lvlText w:val="o"/>
      <w:lvlJc w:val="left"/>
      <w:pPr>
        <w:ind w:left="1360" w:hanging="360"/>
      </w:pPr>
      <w:rPr>
        <w:rFonts w:ascii="Courier New" w:eastAsia="Courier New" w:hAnsi="Courier New" w:cs="Courier New" w:hint="default"/>
        <w:w w:val="99"/>
        <w:sz w:val="24"/>
        <w:szCs w:val="24"/>
      </w:rPr>
    </w:lvl>
    <w:lvl w:ilvl="2" w:tplc="C9E02CC4">
      <w:numFmt w:val="bullet"/>
      <w:lvlText w:val="•"/>
      <w:lvlJc w:val="left"/>
      <w:pPr>
        <w:ind w:left="2428" w:hanging="360"/>
      </w:pPr>
      <w:rPr>
        <w:rFonts w:hint="default"/>
      </w:rPr>
    </w:lvl>
    <w:lvl w:ilvl="3" w:tplc="C36ED350">
      <w:numFmt w:val="bullet"/>
      <w:lvlText w:val="•"/>
      <w:lvlJc w:val="left"/>
      <w:pPr>
        <w:ind w:left="3497" w:hanging="360"/>
      </w:pPr>
      <w:rPr>
        <w:rFonts w:hint="default"/>
      </w:rPr>
    </w:lvl>
    <w:lvl w:ilvl="4" w:tplc="49E89B5A">
      <w:numFmt w:val="bullet"/>
      <w:lvlText w:val="•"/>
      <w:lvlJc w:val="left"/>
      <w:pPr>
        <w:ind w:left="4566" w:hanging="360"/>
      </w:pPr>
      <w:rPr>
        <w:rFonts w:hint="default"/>
      </w:rPr>
    </w:lvl>
    <w:lvl w:ilvl="5" w:tplc="6742DCB2">
      <w:numFmt w:val="bullet"/>
      <w:lvlText w:val="•"/>
      <w:lvlJc w:val="left"/>
      <w:pPr>
        <w:ind w:left="5635" w:hanging="360"/>
      </w:pPr>
      <w:rPr>
        <w:rFonts w:hint="default"/>
      </w:rPr>
    </w:lvl>
    <w:lvl w:ilvl="6" w:tplc="26469350">
      <w:numFmt w:val="bullet"/>
      <w:lvlText w:val="•"/>
      <w:lvlJc w:val="left"/>
      <w:pPr>
        <w:ind w:left="6704" w:hanging="360"/>
      </w:pPr>
      <w:rPr>
        <w:rFonts w:hint="default"/>
      </w:rPr>
    </w:lvl>
    <w:lvl w:ilvl="7" w:tplc="EDBE4432">
      <w:numFmt w:val="bullet"/>
      <w:lvlText w:val="•"/>
      <w:lvlJc w:val="left"/>
      <w:pPr>
        <w:ind w:left="7773" w:hanging="360"/>
      </w:pPr>
      <w:rPr>
        <w:rFonts w:hint="default"/>
      </w:rPr>
    </w:lvl>
    <w:lvl w:ilvl="8" w:tplc="B4E42D18">
      <w:numFmt w:val="bullet"/>
      <w:lvlText w:val="•"/>
      <w:lvlJc w:val="left"/>
      <w:pPr>
        <w:ind w:left="8842" w:hanging="36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D5"/>
    <w:rsid w:val="00123125"/>
    <w:rsid w:val="001B3931"/>
    <w:rsid w:val="00282191"/>
    <w:rsid w:val="00330847"/>
    <w:rsid w:val="0041714E"/>
    <w:rsid w:val="00573F79"/>
    <w:rsid w:val="008566E2"/>
    <w:rsid w:val="00862ADF"/>
    <w:rsid w:val="00B02E7B"/>
    <w:rsid w:val="00C1746A"/>
    <w:rsid w:val="00CC0C17"/>
    <w:rsid w:val="00D633D5"/>
    <w:rsid w:val="00DF4DB9"/>
    <w:rsid w:val="00E87126"/>
    <w:rsid w:val="00E9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DCDF9"/>
  <w15:chartTrackingRefBased/>
  <w15:docId w15:val="{9F40446C-3F24-40C2-8509-2908D8C1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3D5"/>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D633D5"/>
    <w:pPr>
      <w:spacing w:before="1"/>
      <w:ind w:left="100"/>
      <w:outlineLvl w:val="0"/>
    </w:pPr>
    <w:rPr>
      <w:b/>
      <w:bCs/>
      <w:sz w:val="28"/>
      <w:szCs w:val="28"/>
    </w:rPr>
  </w:style>
  <w:style w:type="paragraph" w:styleId="Heading2">
    <w:name w:val="heading 2"/>
    <w:basedOn w:val="Normal"/>
    <w:link w:val="Heading2Char"/>
    <w:uiPriority w:val="9"/>
    <w:unhideWhenUsed/>
    <w:qFormat/>
    <w:rsid w:val="00D633D5"/>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3D5"/>
    <w:pPr>
      <w:tabs>
        <w:tab w:val="center" w:pos="4680"/>
        <w:tab w:val="right" w:pos="9360"/>
      </w:tabs>
    </w:pPr>
  </w:style>
  <w:style w:type="character" w:customStyle="1" w:styleId="HeaderChar">
    <w:name w:val="Header Char"/>
    <w:basedOn w:val="DefaultParagraphFont"/>
    <w:link w:val="Header"/>
    <w:uiPriority w:val="99"/>
    <w:rsid w:val="00D633D5"/>
  </w:style>
  <w:style w:type="paragraph" w:styleId="Footer">
    <w:name w:val="footer"/>
    <w:basedOn w:val="Normal"/>
    <w:link w:val="FooterChar"/>
    <w:uiPriority w:val="99"/>
    <w:unhideWhenUsed/>
    <w:rsid w:val="00D633D5"/>
    <w:pPr>
      <w:tabs>
        <w:tab w:val="center" w:pos="4680"/>
        <w:tab w:val="right" w:pos="9360"/>
      </w:tabs>
    </w:pPr>
  </w:style>
  <w:style w:type="character" w:customStyle="1" w:styleId="FooterChar">
    <w:name w:val="Footer Char"/>
    <w:basedOn w:val="DefaultParagraphFont"/>
    <w:link w:val="Footer"/>
    <w:uiPriority w:val="99"/>
    <w:rsid w:val="00D633D5"/>
  </w:style>
  <w:style w:type="paragraph" w:styleId="BodyText">
    <w:name w:val="Body Text"/>
    <w:basedOn w:val="Normal"/>
    <w:link w:val="BodyTextChar"/>
    <w:uiPriority w:val="1"/>
    <w:qFormat/>
    <w:rsid w:val="00D633D5"/>
    <w:rPr>
      <w:sz w:val="24"/>
      <w:szCs w:val="24"/>
    </w:rPr>
  </w:style>
  <w:style w:type="character" w:customStyle="1" w:styleId="BodyTextChar">
    <w:name w:val="Body Text Char"/>
    <w:basedOn w:val="DefaultParagraphFont"/>
    <w:link w:val="BodyText"/>
    <w:uiPriority w:val="1"/>
    <w:rsid w:val="00D633D5"/>
    <w:rPr>
      <w:rFonts w:ascii="Calibri" w:eastAsia="Calibri" w:hAnsi="Calibri" w:cs="Calibri"/>
      <w:sz w:val="24"/>
      <w:szCs w:val="24"/>
    </w:rPr>
  </w:style>
  <w:style w:type="character" w:customStyle="1" w:styleId="Heading1Char">
    <w:name w:val="Heading 1 Char"/>
    <w:basedOn w:val="DefaultParagraphFont"/>
    <w:link w:val="Heading1"/>
    <w:uiPriority w:val="9"/>
    <w:rsid w:val="00D633D5"/>
    <w:rPr>
      <w:rFonts w:ascii="Calibri" w:eastAsia="Calibri" w:hAnsi="Calibri" w:cs="Calibri"/>
      <w:b/>
      <w:bCs/>
      <w:sz w:val="28"/>
      <w:szCs w:val="28"/>
    </w:rPr>
  </w:style>
  <w:style w:type="character" w:customStyle="1" w:styleId="Heading2Char">
    <w:name w:val="Heading 2 Char"/>
    <w:basedOn w:val="DefaultParagraphFont"/>
    <w:link w:val="Heading2"/>
    <w:uiPriority w:val="9"/>
    <w:rsid w:val="00D633D5"/>
    <w:rPr>
      <w:rFonts w:ascii="Calibri" w:eastAsia="Calibri" w:hAnsi="Calibri" w:cs="Calibri"/>
      <w:b/>
      <w:bCs/>
      <w:sz w:val="24"/>
      <w:szCs w:val="24"/>
    </w:rPr>
  </w:style>
  <w:style w:type="paragraph" w:styleId="ListParagraph">
    <w:name w:val="List Paragraph"/>
    <w:basedOn w:val="Normal"/>
    <w:uiPriority w:val="1"/>
    <w:qFormat/>
    <w:rsid w:val="00D633D5"/>
    <w:pPr>
      <w:ind w:left="820" w:hanging="360"/>
    </w:pPr>
  </w:style>
  <w:style w:type="character" w:styleId="Hyperlink">
    <w:name w:val="Hyperlink"/>
    <w:basedOn w:val="DefaultParagraphFont"/>
    <w:uiPriority w:val="99"/>
    <w:semiHidden/>
    <w:unhideWhenUsed/>
    <w:rsid w:val="00282191"/>
    <w:rPr>
      <w:color w:val="0000FF"/>
      <w:u w:val="single"/>
    </w:rPr>
  </w:style>
  <w:style w:type="character" w:styleId="FollowedHyperlink">
    <w:name w:val="FollowedHyperlink"/>
    <w:basedOn w:val="DefaultParagraphFont"/>
    <w:uiPriority w:val="99"/>
    <w:semiHidden/>
    <w:unhideWhenUsed/>
    <w:rsid w:val="003308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nosurpri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ture.maine.gov/statutes/22/title22sec1718-D-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A767-54BF-46A0-B737-C4634EEE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Central Maine Healthcare</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Johnson</dc:creator>
  <cp:keywords/>
  <dc:description/>
  <cp:lastModifiedBy>Eric Johnson</cp:lastModifiedBy>
  <cp:revision>8</cp:revision>
  <dcterms:created xsi:type="dcterms:W3CDTF">2024-11-12T19:29:00Z</dcterms:created>
  <dcterms:modified xsi:type="dcterms:W3CDTF">2024-11-20T21:59:00Z</dcterms:modified>
</cp:coreProperties>
</file>